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AD362" w14:textId="77777777" w:rsidR="00AE40D6" w:rsidRPr="00AE40D6" w:rsidRDefault="00AE40D6" w:rsidP="00AE40D6">
      <w:pPr>
        <w:shd w:val="clear" w:color="auto" w:fill="FFFFFF"/>
        <w:jc w:val="center"/>
        <w:rPr>
          <w:rFonts w:ascii="Helvetica" w:eastAsia="Times New Roman" w:hAnsi="Helvetica" w:cs="Times New Roman"/>
          <w:b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b/>
          <w:color w:val="323A42"/>
          <w:lang w:eastAsia="fr-FR"/>
        </w:rPr>
        <w:t>Procès-verbal d’assemblée générale extraordinaire</w:t>
      </w:r>
    </w:p>
    <w:p w14:paraId="142BFB78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765AEC27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Association : </w:t>
      </w:r>
    </w:p>
    <w:p w14:paraId="192291E6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Adresse : </w:t>
      </w:r>
    </w:p>
    <w:p w14:paraId="5E43F69A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Code Postal : </w:t>
      </w:r>
    </w:p>
    <w:p w14:paraId="705847CF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Ville : </w:t>
      </w:r>
    </w:p>
    <w:p w14:paraId="05C7D68D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SIRET : </w:t>
      </w:r>
    </w:p>
    <w:p w14:paraId="5E7E868F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Téléphone : </w:t>
      </w:r>
    </w:p>
    <w:p w14:paraId="36FD03A7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2381E022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4880303F" w14:textId="77777777" w:rsidR="00AE40D6" w:rsidRPr="00AE40D6" w:rsidRDefault="00AE40D6" w:rsidP="00AE40D6">
      <w:pPr>
        <w:shd w:val="clear" w:color="auto" w:fill="FFFFFF"/>
        <w:jc w:val="center"/>
        <w:rPr>
          <w:rFonts w:ascii="Helvetica" w:eastAsia="Times New Roman" w:hAnsi="Helvetica" w:cs="Times New Roman"/>
          <w:b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b/>
          <w:color w:val="323A42"/>
          <w:lang w:eastAsia="fr-FR"/>
        </w:rPr>
        <w:t>Procès-verbal</w:t>
      </w:r>
    </w:p>
    <w:p w14:paraId="78C7CE0E" w14:textId="77777777" w:rsidR="00AE40D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2438E1E1" w14:textId="77777777" w:rsidR="00F1261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Les membres de l’association </w:t>
      </w:r>
      <w:r w:rsidRPr="00AE40D6">
        <w:rPr>
          <w:rFonts w:ascii="Helvetica" w:eastAsia="Times New Roman" w:hAnsi="Helvetica" w:cs="Times New Roman"/>
          <w:i/>
          <w:color w:val="323A42"/>
          <w:lang w:eastAsia="fr-FR"/>
        </w:rPr>
        <w:t>(indiquer le nom de l’association)</w:t>
      </w: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 se sont réunis en assemblée générale extraordinaire le </w:t>
      </w:r>
      <w:r>
        <w:rPr>
          <w:rFonts w:ascii="Helvetica" w:eastAsia="Times New Roman" w:hAnsi="Helvetica" w:cs="Times New Roman"/>
          <w:color w:val="323A42"/>
          <w:lang w:eastAsia="fr-FR"/>
        </w:rPr>
        <w:t>(indiquer date et l’heure)</w:t>
      </w: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 </w:t>
      </w:r>
      <w:r>
        <w:rPr>
          <w:rFonts w:ascii="Helvetica" w:eastAsia="Times New Roman" w:hAnsi="Helvetica" w:cs="Times New Roman"/>
          <w:color w:val="323A42"/>
          <w:lang w:eastAsia="fr-FR"/>
        </w:rPr>
        <w:t>en application de</w:t>
      </w: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 l'article </w:t>
      </w:r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(indiquer l’article lié aux convocations aux assemblées générales)</w:t>
      </w: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 des statuts. </w:t>
      </w:r>
    </w:p>
    <w:p w14:paraId="353E32B4" w14:textId="77777777" w:rsidR="00F12616" w:rsidRDefault="00F1261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2E2C058C" w14:textId="77777777" w:rsidR="00F1261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Il a été établi une feuille d’émargement des membres présents ou représentés (liste des participants en annexe). </w:t>
      </w:r>
    </w:p>
    <w:p w14:paraId="69DDA3BF" w14:textId="77777777" w:rsidR="00F12616" w:rsidRDefault="00F1261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76DFD90F" w14:textId="77777777" w:rsidR="00F1261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L’assemblée est présidée par </w:t>
      </w:r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(indiquer le nom du président de l’association)</w:t>
      </w: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 </w:t>
      </w:r>
    </w:p>
    <w:p w14:paraId="04970C43" w14:textId="77777777" w:rsidR="00F12616" w:rsidRDefault="00AE40D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Plus de </w:t>
      </w:r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(indiquer un pourcentage)</w:t>
      </w: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 des membres à jour de cotisation étant présents ou représentés, l’assemblée peut valablement délibérer. </w:t>
      </w:r>
    </w:p>
    <w:p w14:paraId="31BE2AE7" w14:textId="77777777" w:rsidR="00F12616" w:rsidRDefault="00F12616" w:rsidP="00AE40D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67809B1C" w14:textId="77777777" w:rsidR="00F12616" w:rsidRDefault="00AE40D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AE40D6">
        <w:rPr>
          <w:rFonts w:ascii="Helvetica" w:eastAsia="Times New Roman" w:hAnsi="Helvetica" w:cs="Times New Roman"/>
          <w:color w:val="323A42"/>
          <w:lang w:eastAsia="fr-FR"/>
        </w:rPr>
        <w:t xml:space="preserve">Le président rappelle l’ordre du jour : </w:t>
      </w:r>
    </w:p>
    <w:p w14:paraId="4BCB6E0B" w14:textId="77777777" w:rsidR="00F12616" w:rsidRDefault="00F12616" w:rsidP="00F12616">
      <w:pPr>
        <w:pStyle w:val="Pardeliste"/>
        <w:numPr>
          <w:ilvl w:val="0"/>
          <w:numId w:val="5"/>
        </w:num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Dissolution de l'association </w:t>
      </w:r>
    </w:p>
    <w:p w14:paraId="564972E9" w14:textId="77777777" w:rsidR="00F12616" w:rsidRDefault="00F12616" w:rsidP="00F12616">
      <w:pPr>
        <w:pStyle w:val="Pardeliste"/>
        <w:numPr>
          <w:ilvl w:val="0"/>
          <w:numId w:val="5"/>
        </w:num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F12616">
        <w:rPr>
          <w:rFonts w:ascii="Helvetica" w:eastAsia="Times New Roman" w:hAnsi="Helvetica" w:cs="Times New Roman"/>
          <w:color w:val="323A42"/>
          <w:lang w:eastAsia="fr-FR"/>
        </w:rPr>
        <w:t>Nomination</w:t>
      </w:r>
      <w:r w:rsidR="00AE40D6" w:rsidRPr="00F12616">
        <w:rPr>
          <w:rFonts w:ascii="Helvetica" w:eastAsia="Times New Roman" w:hAnsi="Helvetica" w:cs="Times New Roman"/>
          <w:color w:val="323A42"/>
          <w:lang w:eastAsia="fr-FR"/>
        </w:rPr>
        <w:t xml:space="preserve"> du ou des liquidateurs. </w:t>
      </w:r>
    </w:p>
    <w:p w14:paraId="5ACA4975" w14:textId="77777777" w:rsidR="00F12616" w:rsidRDefault="00F12616" w:rsidP="00F12616">
      <w:pPr>
        <w:pStyle w:val="Pardeliste"/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1D70EE2A" w14:textId="77777777" w:rsidR="00F12616" w:rsidRPr="00F12616" w:rsidRDefault="00F12616" w:rsidP="00F12616">
      <w:pPr>
        <w:pStyle w:val="Pardeliste"/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106D80E0" w14:textId="77777777" w:rsidR="00F12616" w:rsidRDefault="00AE40D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Lecture est faite du rapport relatif aux raisons de 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dissolution par le Président</w:t>
      </w:r>
    </w:p>
    <w:p w14:paraId="53F5CD04" w14:textId="77777777" w:rsidR="00F12616" w:rsidRDefault="00AE40D6" w:rsidP="00F12616">
      <w:pPr>
        <w:pStyle w:val="Pardeliste"/>
        <w:numPr>
          <w:ilvl w:val="0"/>
          <w:numId w:val="6"/>
        </w:num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Première résolution : la décision de dissoudre l'association est soumise à </w:t>
      </w:r>
      <w:bookmarkStart w:id="0" w:name="_GoBack"/>
      <w:bookmarkEnd w:id="0"/>
      <w:r w:rsidRPr="00F12616">
        <w:rPr>
          <w:rFonts w:ascii="Helvetica" w:eastAsia="Times New Roman" w:hAnsi="Helvetica" w:cs="Times New Roman"/>
          <w:color w:val="323A42"/>
          <w:lang w:eastAsia="fr-FR"/>
        </w:rPr>
        <w:t>l'approbation de l'assemblée. Cette résolution est adopt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ée à la majorité de (</w:t>
      </w:r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nombre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) voix.</w:t>
      </w:r>
    </w:p>
    <w:p w14:paraId="17C702C6" w14:textId="77777777" w:rsidR="00F12616" w:rsidRDefault="00F12616" w:rsidP="00F12616">
      <w:pPr>
        <w:pStyle w:val="Pardeliste"/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48C2241F" w14:textId="77777777" w:rsidR="00F12616" w:rsidRDefault="00AE40D6" w:rsidP="00F12616">
      <w:pPr>
        <w:pStyle w:val="Pardeliste"/>
        <w:numPr>
          <w:ilvl w:val="0"/>
          <w:numId w:val="6"/>
        </w:num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F12616">
        <w:rPr>
          <w:rFonts w:ascii="Helvetica" w:eastAsia="Times New Roman" w:hAnsi="Helvetica" w:cs="Times New Roman"/>
          <w:color w:val="323A42"/>
          <w:lang w:eastAsia="fr-FR"/>
        </w:rPr>
        <w:t>Deuxième résolution : par voie de conséquence de la dissolutio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n ainsi décidée, l'association </w:t>
      </w:r>
      <w:r w:rsidR="00F12616" w:rsidRPr="00AE40D6">
        <w:rPr>
          <w:rFonts w:ascii="Helvetica" w:eastAsia="Times New Roman" w:hAnsi="Helvetica" w:cs="Times New Roman"/>
          <w:i/>
          <w:color w:val="323A42"/>
          <w:lang w:eastAsia="fr-FR"/>
        </w:rPr>
        <w:t>(indiquer le nom de l’association)</w:t>
      </w: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 est mise en liquidation volo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ntaire à compter de ce jour. M </w:t>
      </w:r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(indiquer nom)</w:t>
      </w: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 est désigné comme liquidateur. Cette résolution est adopt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ée à la majorité de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 (</w:t>
      </w:r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nombre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)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 voix.</w:t>
      </w:r>
    </w:p>
    <w:p w14:paraId="5AF089F5" w14:textId="77777777" w:rsidR="00F12616" w:rsidRPr="00F12616" w:rsidRDefault="00F1261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58E96DE5" w14:textId="77777777" w:rsidR="00AE40D6" w:rsidRDefault="00AE40D6" w:rsidP="001B28C7">
      <w:pPr>
        <w:pStyle w:val="Pardeliste"/>
        <w:numPr>
          <w:ilvl w:val="0"/>
          <w:numId w:val="6"/>
        </w:num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F12616">
        <w:rPr>
          <w:rFonts w:ascii="Helvetica" w:eastAsia="Times New Roman" w:hAnsi="Helvetica" w:cs="Times New Roman"/>
          <w:color w:val="323A42"/>
          <w:lang w:eastAsia="fr-FR"/>
        </w:rPr>
        <w:t>Troisième résolution : l'assemblée générale donne au liquidateur les pouvoirs les plus étendus pour mener à bien la liquidation, réaliser l'actif, payer le passif et reme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ttre le solde à l'association </w:t>
      </w:r>
      <w:r w:rsidR="00F12616" w:rsidRPr="00AE40D6">
        <w:rPr>
          <w:rFonts w:ascii="Helvetica" w:eastAsia="Times New Roman" w:hAnsi="Helvetica" w:cs="Times New Roman"/>
          <w:i/>
          <w:color w:val="323A42"/>
          <w:lang w:eastAsia="fr-FR"/>
        </w:rPr>
        <w:t>(indiquer le nom de l’association)</w:t>
      </w: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. Cette résolution est adoptée à la majorité </w:t>
      </w:r>
      <w:proofErr w:type="gramStart"/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de 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 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(</w:t>
      </w:r>
      <w:proofErr w:type="gramEnd"/>
      <w:r w:rsidR="00F12616" w:rsidRPr="00F12616">
        <w:rPr>
          <w:rFonts w:ascii="Helvetica" w:eastAsia="Times New Roman" w:hAnsi="Helvetica" w:cs="Times New Roman"/>
          <w:i/>
          <w:color w:val="323A42"/>
          <w:lang w:eastAsia="fr-FR"/>
        </w:rPr>
        <w:t>nombre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>)</w:t>
      </w:r>
      <w:r w:rsidR="00F12616">
        <w:rPr>
          <w:rFonts w:ascii="Helvetica" w:eastAsia="Times New Roman" w:hAnsi="Helvetica" w:cs="Times New Roman"/>
          <w:color w:val="323A42"/>
          <w:lang w:eastAsia="fr-FR"/>
        </w:rPr>
        <w:t xml:space="preserve"> </w:t>
      </w: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voix. </w:t>
      </w:r>
    </w:p>
    <w:p w14:paraId="0E29C7A1" w14:textId="77777777" w:rsidR="00F12616" w:rsidRDefault="00F1261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73DC325E" w14:textId="77777777" w:rsidR="00F12616" w:rsidRDefault="00F1261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>
        <w:rPr>
          <w:rFonts w:ascii="Helvetica" w:eastAsia="Times New Roman" w:hAnsi="Helvetica" w:cs="Times New Roman"/>
          <w:color w:val="323A42"/>
          <w:lang w:eastAsia="fr-FR"/>
        </w:rPr>
        <w:t xml:space="preserve">Signatures </w:t>
      </w:r>
    </w:p>
    <w:p w14:paraId="618539E8" w14:textId="77777777" w:rsidR="00F12616" w:rsidRPr="00F12616" w:rsidRDefault="00F1261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  <w:r w:rsidRPr="00F12616">
        <w:rPr>
          <w:rFonts w:ascii="Helvetica" w:eastAsia="Times New Roman" w:hAnsi="Helvetica" w:cs="Times New Roman"/>
          <w:i/>
          <w:color w:val="323A42"/>
          <w:lang w:eastAsia="fr-FR"/>
        </w:rPr>
        <w:t>(</w:t>
      </w:r>
      <w:proofErr w:type="gramStart"/>
      <w:r w:rsidRPr="00F12616">
        <w:rPr>
          <w:rFonts w:ascii="Helvetica" w:eastAsia="Times New Roman" w:hAnsi="Helvetica" w:cs="Times New Roman"/>
          <w:i/>
          <w:color w:val="323A42"/>
          <w:lang w:eastAsia="fr-FR"/>
        </w:rPr>
        <w:t>par</w:t>
      </w:r>
      <w:proofErr w:type="gramEnd"/>
      <w:r w:rsidRPr="00F12616">
        <w:rPr>
          <w:rFonts w:ascii="Helvetica" w:eastAsia="Times New Roman" w:hAnsi="Helvetica" w:cs="Times New Roman"/>
          <w:i/>
          <w:color w:val="323A42"/>
          <w:lang w:eastAsia="fr-FR"/>
        </w:rPr>
        <w:t xml:space="preserve"> le ou la présidente et le ou la trésorière</w:t>
      </w:r>
      <w:r>
        <w:rPr>
          <w:rFonts w:ascii="Helvetica" w:eastAsia="Times New Roman" w:hAnsi="Helvetica" w:cs="Times New Roman"/>
          <w:i/>
          <w:color w:val="323A42"/>
          <w:lang w:eastAsia="fr-FR"/>
        </w:rPr>
        <w:t xml:space="preserve"> avec leurs titres respectifs</w:t>
      </w:r>
      <w:r>
        <w:rPr>
          <w:rFonts w:ascii="Helvetica" w:eastAsia="Times New Roman" w:hAnsi="Helvetica" w:cs="Times New Roman"/>
          <w:color w:val="323A42"/>
          <w:lang w:eastAsia="fr-FR"/>
        </w:rPr>
        <w:t>)</w:t>
      </w:r>
      <w:r w:rsidRPr="00F12616">
        <w:rPr>
          <w:rFonts w:ascii="Helvetica" w:eastAsia="Times New Roman" w:hAnsi="Helvetica" w:cs="Times New Roman"/>
          <w:color w:val="323A42"/>
          <w:lang w:eastAsia="fr-FR"/>
        </w:rPr>
        <w:t xml:space="preserve">. </w:t>
      </w:r>
    </w:p>
    <w:p w14:paraId="4F0B5990" w14:textId="77777777" w:rsidR="00F12616" w:rsidRPr="00F12616" w:rsidRDefault="00F12616" w:rsidP="00F12616">
      <w:pPr>
        <w:shd w:val="clear" w:color="auto" w:fill="FFFFFF"/>
        <w:rPr>
          <w:rFonts w:ascii="Helvetica" w:eastAsia="Times New Roman" w:hAnsi="Helvetica" w:cs="Times New Roman"/>
          <w:color w:val="323A42"/>
          <w:lang w:eastAsia="fr-FR"/>
        </w:rPr>
      </w:pPr>
    </w:p>
    <w:p w14:paraId="0177D2D1" w14:textId="77777777" w:rsidR="001B2990" w:rsidRDefault="00F12616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783"/>
    <w:multiLevelType w:val="hybridMultilevel"/>
    <w:tmpl w:val="4DB45ECE"/>
    <w:lvl w:ilvl="0" w:tplc="A904965E">
      <w:numFmt w:val="bullet"/>
      <w:lvlText w:val="−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1FFC"/>
    <w:multiLevelType w:val="hybridMultilevel"/>
    <w:tmpl w:val="0EE245A2"/>
    <w:lvl w:ilvl="0" w:tplc="A904965E">
      <w:numFmt w:val="bullet"/>
      <w:lvlText w:val="−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4505"/>
    <w:multiLevelType w:val="hybridMultilevel"/>
    <w:tmpl w:val="21563388"/>
    <w:lvl w:ilvl="0" w:tplc="A904965E">
      <w:numFmt w:val="bullet"/>
      <w:lvlText w:val="−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75A80"/>
    <w:multiLevelType w:val="hybridMultilevel"/>
    <w:tmpl w:val="3E4A1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428B1"/>
    <w:multiLevelType w:val="hybridMultilevel"/>
    <w:tmpl w:val="9B44E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195A"/>
    <w:multiLevelType w:val="hybridMultilevel"/>
    <w:tmpl w:val="702A7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D6"/>
    <w:rsid w:val="004A65A0"/>
    <w:rsid w:val="00AE40D6"/>
    <w:rsid w:val="00F12616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38C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E40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40D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deliste">
    <w:name w:val="List Paragraph"/>
    <w:basedOn w:val="Normal"/>
    <w:uiPriority w:val="34"/>
    <w:qFormat/>
    <w:rsid w:val="00F1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2020-11-03T15:54:00Z</dcterms:created>
  <dcterms:modified xsi:type="dcterms:W3CDTF">2020-11-03T16:14:00Z</dcterms:modified>
</cp:coreProperties>
</file>