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SARL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Nom de la société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)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Société à responsabilité limitée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capital de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Montant du capital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) euros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Siège social 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(Adresse du siège)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Registre du commerce et des sociétés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(Ville où est situé le registre du commerce dont dépend le siège)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Décision de l’associé unique gérant du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la décision)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Date)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 Siège de la société)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soussigné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Nom de l'associé unique)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associé unique et gérant de la société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(Dénomination de la société)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a établi et arrêté les comptes annuels (bilan, compte de résultat et annexe) de l'exercice clos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" Date de clôture"- et a établi le rapport de gestion sur les opérations de l'exercice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Il a pris les décisions suivantes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PREMIERE DECISION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L’associé unique approuve les comptes annuels de l'exercice clos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clôture de l’exercice)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, qui se traduisent par un bénéfice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(Une perte)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Il approuve les opérations traduites dans ces comptes.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DEUXIEME DECISION :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L’associé unique décide d'affecter le résultat de l'exercice qui s’élève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 de la manière suivante :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 1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A la réserve légale à hauteur de 5 %, soit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montant affecté à cette réserve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)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 2 :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poste report à nouveau, par imputation des pertes antérieures, pour un montant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 affecté en report a nouveau)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 3 :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poste report à nouveau pour un montant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 affecté en report a nouveau)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 4 :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poste réserve ordinaire, par imputation des pertes antérieures pour un montant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 affecté en report à nouveau)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 5 :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 titre de dividendes pour un montant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 affecté en dividendes)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TROISIEME DECISION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L’associé unique constate que, conformément à l’article 243 bis du code général des impôts, le montant des dividendes distribués au titre des trois exercices précédents, dont ceux ouvrant droit à l'abattement de 40 %, ainsi que ceux qui en sont exclus sont les suivants :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clos le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clôture de l’exercice)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clôture de l’exercice)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clôture de l’exercice)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Dividendes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Dividendes ouvrant droit abattement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Dividendes n’ouvrant pas droit à abattement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 :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l’associé unique constate qu’aucun dividende n’a été distribué au titre des trois derniers exercices.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QUATRIEME DECISION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L’associé unique, en application des dispositions de l'article L 223-19 du Code de commerce, déclare avoir conclu ou exécuté les conventions réglementées suivantes :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- Conventions conclues au cours de l’exercice écoulé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Il a été conclu les conventions suivantes :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(Préciser la date de la convention, sa nature et ces principales modalités : prix, durée, délais de paiement….)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il n’a été conclu aucune convention de ce type au cours de l’exercice écoulé.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- Conventions conclues au cours d’exercices antérieurs et qui se sont continuées lors de l’exercice écoulé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(Préciser la date de la convention, sa nature et ces principales modalités : prix, durée, délais de paiement….)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Option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il n’a été poursuivi aucune convention de ce type au cours de l’exercice écoulé.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De tout ceci dessus, il a été dressé le présent procès-verbal signé par l'associé unique et répertorié sur le registre des décisions de l'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- associé- associée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unique.</w:t>
      </w:r>
    </w:p>
    <w:p>
      <w:pPr/>
      <w:r>
        <w:rPr>
          <w:rFonts w:ascii="Times" w:hAnsi="Times" w:cs="Times"/>
          <w:sz w:val="24"/>
          <w:sz-cs w:val="24"/>
        </w:rPr>
        <w:t xml:space="preserve">Fait en … originaux, </w:t>
      </w:r>
    </w:p>
    <w:p>
      <w:pPr/>
      <w:r>
        <w:rPr>
          <w:rFonts w:ascii="Times" w:hAnsi="Times" w:cs="Times"/>
          <w:sz w:val="24"/>
          <w:sz-cs w:val="24"/>
        </w:rPr>
        <w:t xml:space="preserve">À … (ville du siège social)</w:t>
      </w:r>
    </w:p>
    <w:p>
      <w:pPr/>
      <w:r>
        <w:rPr>
          <w:rFonts w:ascii="Times" w:hAnsi="Times" w:cs="Times"/>
          <w:sz w:val="24"/>
          <w:sz-cs w:val="24"/>
        </w:rPr>
        <w:t xml:space="preserve">Le … (date)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Fait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(lieu de signature)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signature)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Signatures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