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SARL(nom de la société)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Société à responsabilité limitée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Au capital de (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montant du capital)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euros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Siège social :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(adresse du siège)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RCS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(ville où est situé le registre du commerce dont dépend le siège) n °(numéro de RCS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</w:t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Assemblée générale du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de l’assemblée)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(lieu ou se tient l’assemblée générale)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de l’assemblée)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(heure de la réunion)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heures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Les associés se sont réunis sur convocation régulière de la gérance envoyée en lettre recommandée avec demande d’accusé de réception le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d’envoi de la convocation).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Il a été établit une feuille de présence signée par tous les associés présents.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Sont présent ou représentés :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1°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(nom et prénom associé)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détenant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(nombre de parts détenues)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parts sociales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2°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(nom de la société et de son représentant, si l’associé est une société ou une autre personne morale)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détenant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(nombre de parts détenues)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parts sociales</w:t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(Et ainsi de suite pour chaque associé, personne physique ou société présent ou représenté à l’assemblée)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Les associés présents ou représentés disposent ensemble de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(nombre de parts dont disposent les associés présents ou représentés)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sur les (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nombre de parts totales de la SARL)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parts formant le capital de la société.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Monsieur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(ou Madame) (prénoms et nom du gérant associé)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préside la séance en qualité de gérant associé.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Président constate que les associés présents ou représentés possèdent ensemble plus de la moitié des parts sociales. Le quorum étant atteint, l’assemblée peut valablement délibérer.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Président dépose et met à la disposition des associés les documents suivants :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- Les copies des convocations des associés et les accusés de réception ;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-  Le rapport de gestion de la gérance et le rapport spécial ;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- Le texte des résolutions proposées.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Président déclare que tous les documents prévus par réglementation et les statuts ont bien été adressés aux associés avec la convocation.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Ils ont été tenus à leur disposition au siège social pendant le délai de quinze jours ayant précédé l'assemblée.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L'assemblée lui donne acte de ses déclarations et reconnaît la validité de la convocation.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Puis le Président rappelle l'ordre du jour :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-  Lecture du rapport de gestion sur l'activité de la Société et du rapport spécial ;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-  Approbation des comptes annuels de l'exercice clos le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de clôture des comptes sociaux)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et quitus à la gérance ;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-  Affectation du résultat ;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- Approbation des conventions réglementées.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président donne lecture aux associés du rapport de gestion et du rapport spécial.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u w:val="single"/>
          <w:spacing w:val="0"/>
          <w:color w:val="000000"/>
        </w:rPr>
        <w:t xml:space="preserve">PREMIERE RESOLUTION</w:t>
      </w:r>
      <w:r>
        <w:rPr>
          <w:rFonts w:ascii="Times" w:hAnsi="Times" w:cs="Times"/>
          <w:sz w:val="24"/>
          <w:sz-cs w:val="24"/>
          <w:u w:val="single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L’assemblée générale, après avoir pris connaissance du rapport de gestion portant sur l’exercice clos le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de clôture de l’exercice)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, approuve les comptes de l’exercice qui se traduisent par un bénéfice de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(montant du bénéfice)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euros.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En conséquence elle donne quitus à la gérance pour sa gestion lors du dit exercice.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Cette résolution est approuvée à l’unanimité.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u w:val="single"/>
          <w:spacing w:val="0"/>
          <w:color w:val="000000"/>
        </w:rPr>
        <w:t xml:space="preserve">DEUXIEME RESOLUTION</w:t>
      </w:r>
      <w:r>
        <w:rPr>
          <w:rFonts w:ascii="Times" w:hAnsi="Times" w:cs="Times"/>
          <w:sz w:val="24"/>
          <w:sz-cs w:val="24"/>
          <w:u w:val="single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L’assemblée générale approuve la proposition d’affectation du résultat qui lui a été présentée.</w:t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En l’absence de distribution d’un dividende, indiquer 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En conséquence, les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 …(pertes ou bénéfices)…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de l’exercice, qui se montent à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….(montant)…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euros, sont affectés au compte « report à nouveau ».</w:t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En cas de décision de distribution d’un dividende, indiquer 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En conséquence, les bénéfices de l’exercice se montant à la somme de …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.(montant)..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.. euros, sont affectés comme suit 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(à adapter le cas échéant)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:</w:t>
      </w:r>
    </w:p>
    <w:p>
      <w:pPr>
        <w:ind w:left="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dotation à la réserve légale : .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..(montant).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.. euros ;</w:t>
      </w:r>
    </w:p>
    <w:p>
      <w:pPr>
        <w:ind w:left="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dotation aux réserves statutaires :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…(montant).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.. euros ;</w:t>
      </w:r>
    </w:p>
    <w:p>
      <w:pPr>
        <w:ind w:left="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dividende total revenant aux actionnaires :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…(montant)…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euros ;</w:t>
      </w:r>
    </w:p>
    <w:p>
      <w:pPr>
        <w:ind w:left="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report à nouveau :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…(montant).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.. euros ;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dividende à répartir au titre de l’exercice est fixé à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…(montant)..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 par action. Il sera mis en paiement le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…(date)..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., après déduction des prélèvements sociaux de 15,5 % et, sauf dispense, du prélèvement fiscal de 21 %.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Sur le plan fiscal, ce dividende ouvre droit au profit des actionnaires personnes physiques à l’abattement prévu à l’article 158, 3, 2° du code général des impôts.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Cette résolution est adoptée à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….(la majorité ou, le cas échéant, l’unanimité)….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Cette résolution, mise aux voix, est adoptée à l’unanimité.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u w:val="single"/>
          <w:spacing w:val="0"/>
          <w:color w:val="000000"/>
        </w:rPr>
        <w:t xml:space="preserve">TROISIEME RESOLUTION</w:t>
      </w:r>
      <w:r>
        <w:rPr>
          <w:rFonts w:ascii="Times" w:hAnsi="Times" w:cs="Times"/>
          <w:sz w:val="24"/>
          <w:sz-cs w:val="24"/>
          <w:b/>
          <w:u w:val="single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montant des dividendes mis en distribution au titre des trois exercices précédents ont été les suivants :</w:t>
      </w:r>
    </w:p>
    <w:p>
      <w:pPr>
        <w:ind w:left="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Exercice n-1 : dividende par action, nombre d’actions, abattement </w:t>
      </w:r>
    </w:p>
    <w:p>
      <w:pPr>
        <w:ind w:left="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Exercice n-2 : dividende par action, nombre d’actions, abattement </w:t>
      </w:r>
    </w:p>
    <w:p>
      <w:pPr>
        <w:ind w:left="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Exercice n-3 : dividende par action, nombre d’actions, abattement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Cette résolution est adoptée à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….(la majorité ou, le cas échéant, l’unanimité)…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De tout ceci, il a été dressé le présent procès-verbal qui, après lecture, a été signé par le Président, les associés présents et les mandataires des associés représentés.</w:t>
      </w:r>
    </w:p>
    <w:p>
      <w:pPr>
        <w:spacing w:after="319"/>
      </w:pPr>
      <w:r>
        <w:rPr>
          <w:rFonts w:ascii="Times" w:hAnsi="Times" w:cs="Times"/>
          <w:sz w:val="24"/>
          <w:sz-cs w:val="24"/>
          <w:b/>
          <w:u w:val="single" w:color="000000"/>
          <w:spacing w:val="0"/>
          <w:color w:val="000000"/>
        </w:rPr>
        <w:t xml:space="preserve">QUATRIEME RÉSOLUTION</w:t>
      </w:r>
    </w:p>
    <w:p>
      <w:pPr>
        <w:spacing w:after="319"/>
      </w:pPr>
      <w:r>
        <w:rPr>
          <w:rFonts w:ascii="Arial" w:hAnsi="Arial" w:cs="Arial"/>
          <w:sz w:val="20"/>
          <w:sz-cs w:val="20"/>
          <w:spacing w:val="0"/>
          <w:color w:val="000000"/>
        </w:rPr>
        <w:t xml:space="preserve">Tous pouvoirs sont donnés au porteur d’une copie ou d’un extrait certifié conforme du présent procès-verbal à l’effet d’accomplir toute formalité de publicité afférente aux résolutions ci-dessus adoptées.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rial" w:hAnsi="Arial" w:cs="Arial"/>
          <w:sz w:val="20"/>
          <w:sz-cs w:val="20"/>
          <w:spacing w:val="0"/>
          <w:color w:val="000000"/>
        </w:rPr>
        <w:t xml:space="preserve">De tout ce qui précède il a été établi le présent procès-verbal qui a été signé, conformément à l’article </w:t>
      </w:r>
      <w:r>
        <w:rPr>
          <w:rFonts w:ascii="Arial" w:hAnsi="Arial" w:cs="Arial"/>
          <w:sz w:val="20"/>
          <w:sz-cs w:val="20"/>
          <w:i/>
          <w:spacing w:val="0"/>
          <w:color w:val="000000"/>
        </w:rPr>
        <w:t xml:space="preserve">…(numéro)…</w:t>
      </w:r>
      <w:r>
        <w:rPr>
          <w:rFonts w:ascii="Arial" w:hAnsi="Arial" w:cs="Arial"/>
          <w:sz w:val="20"/>
          <w:sz-cs w:val="20"/>
          <w:spacing w:val="0"/>
          <w:color w:val="000000"/>
        </w:rPr>
        <w:t xml:space="preserve"> des statuts, par </w:t>
      </w:r>
      <w:r>
        <w:rPr>
          <w:rFonts w:ascii="Arial" w:hAnsi="Arial" w:cs="Arial"/>
          <w:sz w:val="20"/>
          <w:sz-cs w:val="20"/>
          <w:i/>
          <w:spacing w:val="0"/>
          <w:color w:val="000000"/>
        </w:rPr>
        <w:t xml:space="preserve">….(désignation des signataires)..</w:t>
      </w:r>
      <w:r>
        <w:rPr>
          <w:rFonts w:ascii="Arial" w:hAnsi="Arial" w:cs="Arial"/>
          <w:sz w:val="20"/>
          <w:sz-cs w:val="20"/>
          <w:spacing w:val="0"/>
          <w:color w:val="000000"/>
        </w:rPr>
        <w:t xml:space="preserve">. pour servir et valoir ce que de droit.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Cette résolution, mise aux voix, est adoptée à l’unanimité.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L'ordre du jour étant épuisé, et personne ne demandant plus la parole, le gérant déclare la séance levée.</w:t>
      </w:r>
    </w:p>
    <w:p>
      <w:pPr/>
      <w:r>
        <w:rPr>
          <w:rFonts w:ascii="Times" w:hAnsi="Times" w:cs="Times"/>
          <w:sz w:val="24"/>
          <w:sz-cs w:val="24"/>
        </w:rPr>
        <w:t xml:space="preserve">De tout ce que dessus, il a été dressé le présent procès-verbal qui a été signé, après lecture par le gérant et les associés.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Fait en … originaux, </w:t>
      </w:r>
    </w:p>
    <w:p>
      <w:pPr/>
      <w:r>
        <w:rPr>
          <w:rFonts w:ascii="Times" w:hAnsi="Times" w:cs="Times"/>
          <w:sz w:val="24"/>
          <w:sz-cs w:val="24"/>
        </w:rPr>
        <w:t xml:space="preserve">À … (ville du siège social)</w:t>
      </w:r>
    </w:p>
    <w:p>
      <w:pPr/>
      <w:r>
        <w:rPr>
          <w:rFonts w:ascii="Times" w:hAnsi="Times" w:cs="Times"/>
          <w:sz w:val="24"/>
          <w:sz-cs w:val="24"/>
        </w:rPr>
        <w:t xml:space="preserve">Le … (date)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>SIGNATURE DES ASSOCIÉS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Fait à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(lieu de signature)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de signature)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Signatures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auxiliaire</dc:creator>
</cp:coreProperties>
</file>

<file path=docProps/meta.xml><?xml version="1.0" encoding="utf-8"?>
<meta xmlns="http://schemas.apple.com/cocoa/2006/metadata">
  <generator>CocoaOOXMLWriter/1671.6</generator>
</meta>
</file>