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Times" w:hAnsi="Times" w:cs="Times"/>
          <w:sz w:val="24"/>
          <w:sz-cs w:val="24"/>
        </w:rPr>
        <w:t xml:space="preserve">[Dénomination sociale de la société]</w:t>
      </w: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i/>
        </w:rPr>
        <w:t xml:space="preserve">[Forme juridique de la société (SASU ou EURL)]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capital de (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montant du capital)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euros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Siège social :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(adresse du siège)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RCS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(ville où est situé le registre du commerce dont dépend le siège) n °(numéro de RCS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Assemblée générale du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l’assemblée)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(lieu ou se tient l’assemblée générale)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(date de l’assemblée)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(heure de la réunion)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heures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Nom de l’associé unique de la société, l’associé unique exerçant la gérance de la société (si c’est le cas, sinon indiquer le nom du gérant) … (dénomination de la société), société à responsabilité limitée au capital de … (capital) €, a présidé l’Assemblée Générale Extraordinaire au … (adresse du siège social), siège social de la société.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Nom de l’associé unique étant l’associé unique, l'assemblée est donc déclarée régulièrement constituée et peut valablement délibérer.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Le président rappelle que l'Assemblée va délibérer sur l’ordre du jour suivant 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>-Approbation des comptes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>- Affectation du résultat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 w:color="000000"/>
        </w:rPr>
        <w:t xml:space="preserve">Première résolution : approbation des comptes annuels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L’associé unique approuve les comptes de l’exercice clos le </w:t>
      </w:r>
      <w:r>
        <w:rPr>
          <w:rFonts w:ascii="Times" w:hAnsi="Times" w:cs="Times"/>
          <w:sz w:val="24"/>
          <w:sz-cs w:val="24"/>
          <w:i/>
        </w:rPr>
        <w:t xml:space="preserve">[date]</w:t>
      </w:r>
      <w:r>
        <w:rPr>
          <w:rFonts w:ascii="Times" w:hAnsi="Times" w:cs="Times"/>
          <w:sz w:val="24"/>
          <w:sz-cs w:val="24"/>
        </w:rPr>
        <w:t xml:space="preserve"> et se soldant par un bénéfice (ou une perte) de </w:t>
      </w:r>
      <w:r>
        <w:rPr>
          <w:rFonts w:ascii="Times" w:hAnsi="Times" w:cs="Times"/>
          <w:sz w:val="24"/>
          <w:sz-cs w:val="24"/>
          <w:i/>
        </w:rPr>
        <w:t xml:space="preserve">[montant]</w:t>
      </w:r>
      <w:r>
        <w:rPr>
          <w:rFonts w:ascii="Times" w:hAnsi="Times" w:cs="Times"/>
          <w:sz w:val="24"/>
          <w:sz-cs w:val="24"/>
        </w:rPr>
        <w:t xml:space="preserve"> euros.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 w:color="000000"/>
        </w:rPr>
        <w:t xml:space="preserve">Deuxième résolution : affectation du résultat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L’associé unique décide d’affecter le bénéfice de l’exercice s’élevant à </w:t>
      </w:r>
      <w:r>
        <w:rPr>
          <w:rFonts w:ascii="Times" w:hAnsi="Times" w:cs="Times"/>
          <w:sz w:val="24"/>
          <w:sz-cs w:val="24"/>
          <w:i/>
        </w:rPr>
        <w:t xml:space="preserve">[montant]</w:t>
      </w:r>
      <w:r>
        <w:rPr>
          <w:rFonts w:ascii="Times" w:hAnsi="Times" w:cs="Times"/>
          <w:sz w:val="24"/>
          <w:sz-cs w:val="24"/>
        </w:rPr>
        <w:t xml:space="preserve">€ , de la manière suivante 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5 % à la réserve légale, soit </w:t>
      </w:r>
      <w:r>
        <w:rPr>
          <w:rFonts w:ascii="Times" w:hAnsi="Times" w:cs="Times"/>
          <w:sz w:val="24"/>
          <w:sz-cs w:val="24"/>
          <w:i/>
        </w:rPr>
        <w:t xml:space="preserve">[montant]</w:t>
      </w:r>
      <w:r>
        <w:rPr>
          <w:rFonts w:ascii="Times" w:hAnsi="Times" w:cs="Times"/>
          <w:sz w:val="24"/>
          <w:sz-cs w:val="24"/>
        </w:rPr>
        <w:t xml:space="preserve"> euros ;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le solde aux réserves ordinaires, soit </w:t>
      </w:r>
      <w:r>
        <w:rPr>
          <w:rFonts w:ascii="Times" w:hAnsi="Times" w:cs="Times"/>
          <w:sz w:val="24"/>
          <w:sz-cs w:val="24"/>
          <w:i/>
        </w:rPr>
        <w:t xml:space="preserve">[montant]</w:t>
      </w:r>
      <w:r>
        <w:rPr>
          <w:rFonts w:ascii="Times" w:hAnsi="Times" w:cs="Times"/>
          <w:sz w:val="24"/>
          <w:sz-cs w:val="24"/>
        </w:rPr>
        <w:t xml:space="preserve">euros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>[en cas de perte ou de distribution de dividendes, cette partie est à adapter]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L’associé unique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Nom de l’associé unique</w:t>
      </w:r>
    </w:p>
    <w:p>
      <w:pPr/>
      <w:r>
        <w:rPr>
          <w:rFonts w:ascii="Times" w:hAnsi="Times" w:cs="Times"/>
          <w:sz w:val="24"/>
          <w:sz-cs w:val="24"/>
        </w:rPr>
        <w:t xml:space="preserve">Signature de l’associé unique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